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7C151" w14:textId="77777777" w:rsidR="00F81971" w:rsidRPr="007D440E" w:rsidRDefault="00F81971" w:rsidP="007D440E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7D440E">
        <w:rPr>
          <w:rFonts w:ascii="Verdana" w:hAnsi="Verdana"/>
          <w:color w:val="000000"/>
          <w:sz w:val="32"/>
          <w:lang w:val="ru-RU"/>
        </w:rPr>
        <w:t>Соловей Джона Китса</w:t>
      </w:r>
    </w:p>
    <w:p w14:paraId="503ADA8A" w14:textId="77777777" w:rsidR="00485ECB" w:rsidRPr="007D440E" w:rsidRDefault="00485ECB" w:rsidP="007D440E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eastAsiaTheme="minorEastAsia" w:hAnsi="Verdana"/>
          <w:b w:val="0"/>
          <w:color w:val="000000"/>
          <w:sz w:val="24"/>
          <w:lang w:val="ru-RU"/>
        </w:rPr>
      </w:pPr>
      <w:r w:rsidRPr="007D440E">
        <w:rPr>
          <w:rFonts w:ascii="Verdana" w:eastAsiaTheme="minorEastAsia" w:hAnsi="Verdana"/>
          <w:b w:val="0"/>
          <w:color w:val="000000"/>
          <w:sz w:val="24"/>
          <w:lang w:val="ru-RU"/>
        </w:rPr>
        <w:t>Хорхе Луис Борхес</w:t>
      </w:r>
    </w:p>
    <w:p w14:paraId="01102A87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43C384F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Тот, кто перечитывает английскую лирику, не пройдет мимо «Оды соловью» чахоточного, нищего и, вероятно, несчастного в любви Джона Китса, сочиненной им, двадцатитрехлетним юношей, в хэмпстедском саду одной из апрельских ночей 1819 года. В пригородном саду Ките слышит вечного соловья Овидия и Шекспира, чувствует свою обреченность и противопоставляет ей нежную и неподвластную гибели трель незримой птицы. Ките как-то писал, что стихи должны появляться у поэта сами собой, как листья на дереве; всего за два-три часа он создал эту страницу неисчерпаемой и неотступной красоты, к которой позже почти не прикасался; достоинство ее неоспоримо, чего не скажешь о толковании. Узел проблем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предпоследняя строфа. Человек, нечаянный и краткий гость, обращается к птице, «которую не втопчут в прах алчные поколения» и чей сегодняшний голос слышала давним вечером в полях Израиля моавитянка Руфь.</w:t>
      </w:r>
    </w:p>
    <w:p w14:paraId="75492289" w14:textId="1256B90B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В своей опубликованной в 1887 году монографии о Китсе Сидни Колвин, корреспондент и друг Стивенсона, обнаруживает (или выдумывает) в этой строфе зацепку, которую и подвергает разбору. Приведу его не лишенный любопытства вывод: «Греша против логики, а на мой взгляд, и теряя в поэзии, Ките противопоставляет здесь скоротечной жизни человека, под которым понимает индивида, нескончаемую жизнь птицы, то есть рода». Бриджес в 1895 году повторяет это обвинение; Ф. Р. Ливис в 1936-м поддерживает его, снабдив сноской: «Ошибочность подобного представления, естественно, искупается силой вызванного им поэтического чувства». В первой строфе Ките называет соловья «дриадой»; этого достаточно, чтобы еще один критик, Гэррод, всерьез сославшись на приведенный эпитет, заявил, будто в строфе седьмой птица именуется бессмертной, поскольку перед нами дриада, лесное божество. Ближе к истине Эми Лоуэлл: «Если у читателя есть хоть капля воображения или поэтического чувства, он без труда поймет, что Ките говорит не о поющем в этот миг соловье, а о соловьином роде».</w:t>
      </w:r>
    </w:p>
    <w:p w14:paraId="11BEE665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Я привел пять суждений пяти прежних и нынешних критиков; по-моему, меньше других заблуждается североамериканка Эми Лоуэлл, но я бы не стал вслед за ней противопоставлять мимолетную птицу этой ночи соловьиному роду. Ключ, точный ключ к нашей строфе таится, подозреваю, в одном метафизическом параграфе Шопенгауэра, этой строфы не читавшего.</w:t>
      </w:r>
    </w:p>
    <w:p w14:paraId="639977A6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«Ода соловью» датируется 1819 годом, а в 1844-м вышел в свет второй том труда «Мир как воля и представление». В его 41-й главе читаем: «Спросим себя со всей возможной прямотой: разве ласточка, прилетевшая к нам этим летом, не та же самая, что кружила еще на заре мира, и разве за это время чудо сотворения из ничего на самом деле повторялось миллионы раз, чтобы всем на потеху столь же многократно кануть в абсолютное ничто? Пусть меня сочтут безумным, если я стану уверять, будто играющий передо мной котенок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тот же самый, что скакал и лазал здесь триста лет назад, но разве не пущее безумие считать его совершенно другим?» Иначе говоря, индивид есть в известном смысле род, а потому соловей Китса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это и соловей Руфи.</w:t>
      </w:r>
    </w:p>
    <w:p w14:paraId="118FF5AC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Китс мог без малейшей обиды писать: «Я ничего не знаю, поскольку ничего не читал»,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но по странице школьного словаря он угадал дух Греции; вот свидетельство этой догадки (или перевоплощения): в неразличимом соловье одной ночи он почувствовал платоновского соловья идей. Китс, скорее всего неспособный объяснить слово «архетип», за четверть века предвосхитил тезис Шопенгауэра.</w:t>
      </w:r>
    </w:p>
    <w:p w14:paraId="5AD07D35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Разобравшись с одной проблемой, пора разобраться и с другой, совсем иного рода. Почему к нашему лежащему на поверхности толкованию не пришли Гэррод, Ливис и остальные? Ведь Ливис преподавал в одном из колледжей Кембриджа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 xml:space="preserve">— города, который дал приют и само имя </w:t>
      </w:r>
      <w:r w:rsidRPr="007D440E">
        <w:rPr>
          <w:rFonts w:ascii="Verdana" w:hAnsi="Verdana"/>
          <w:color w:val="000000"/>
          <w:sz w:val="20"/>
        </w:rPr>
        <w:t>Cambridge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platonists</w:t>
      </w:r>
      <w:r w:rsidRPr="007D440E">
        <w:rPr>
          <w:rFonts w:ascii="Verdana" w:hAnsi="Verdana"/>
          <w:color w:val="000000"/>
          <w:sz w:val="20"/>
          <w:vertAlign w:val="superscript"/>
        </w:rPr>
        <w:footnoteReference w:id="1"/>
      </w:r>
      <w:r w:rsidRPr="007D440E">
        <w:rPr>
          <w:rFonts w:ascii="Verdana" w:hAnsi="Verdana"/>
          <w:color w:val="000000"/>
          <w:sz w:val="20"/>
          <w:lang w:val="ru-RU"/>
        </w:rPr>
        <w:t>; Бриджес написал в платоновском духе стихотворение «</w:t>
      </w:r>
      <w:r w:rsidRPr="007D440E">
        <w:rPr>
          <w:rFonts w:ascii="Verdana" w:hAnsi="Verdana"/>
          <w:color w:val="000000"/>
          <w:sz w:val="20"/>
        </w:rPr>
        <w:t>The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Fourth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Dimension</w:t>
      </w:r>
      <w:r w:rsidRPr="007D440E">
        <w:rPr>
          <w:rFonts w:ascii="Verdana" w:hAnsi="Verdana"/>
          <w:color w:val="000000"/>
          <w:sz w:val="20"/>
          <w:lang w:val="ru-RU"/>
        </w:rPr>
        <w:t>»</w:t>
      </w:r>
      <w:r w:rsidRPr="007D440E">
        <w:rPr>
          <w:rFonts w:ascii="Verdana" w:hAnsi="Verdana"/>
          <w:color w:val="000000"/>
          <w:sz w:val="20"/>
          <w:vertAlign w:val="superscript"/>
        </w:rPr>
        <w:footnoteReference w:id="2"/>
      </w:r>
      <w:r w:rsidRPr="007D440E">
        <w:rPr>
          <w:rFonts w:ascii="Verdana" w:hAnsi="Verdana"/>
          <w:color w:val="000000"/>
          <w:sz w:val="20"/>
          <w:lang w:val="ru-RU"/>
        </w:rPr>
        <w:t xml:space="preserve">. Кажется, простое </w:t>
      </w:r>
      <w:r w:rsidRPr="007D440E">
        <w:rPr>
          <w:rFonts w:ascii="Verdana" w:hAnsi="Verdana"/>
          <w:color w:val="000000"/>
          <w:sz w:val="20"/>
          <w:lang w:val="ru-RU"/>
        </w:rPr>
        <w:lastRenderedPageBreak/>
        <w:t>перечисление этих фактов</w:t>
      </w:r>
      <w:r w:rsidRPr="007D440E">
        <w:rPr>
          <w:rFonts w:ascii="Verdana" w:hAnsi="Verdana"/>
          <w:color w:val="000000"/>
          <w:sz w:val="20"/>
          <w:vertAlign w:val="superscript"/>
        </w:rPr>
        <w:footnoteReference w:id="3"/>
      </w:r>
      <w:r w:rsidRPr="007D440E">
        <w:rPr>
          <w:rFonts w:ascii="Verdana" w:hAnsi="Verdana"/>
          <w:color w:val="000000"/>
          <w:sz w:val="20"/>
          <w:lang w:val="ru-RU"/>
        </w:rPr>
        <w:t xml:space="preserve"> еще больше затрудняет разгадку. Если не ошибаюсь, дело здесь в некоторых особенностях британского ума.</w:t>
      </w:r>
    </w:p>
    <w:p w14:paraId="0B603D2A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Колридж как-то заметил, что люди рождаются на свет последователями либо Аристотеля, либо Платона. Для последних виды, роды и классы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реальность, для первых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мысленное обобщение; для первых язык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зыбкая игра символов, для вторых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карта мирозданья. Последователь Платона видит в мире некий космос, порядок, а для приверженца Аристотеля порядок этот вполне может быть ошибкой или выдумкой нашего всегда одностороннего ума. Два этих противника шагают через широты и столетия, меняя языки и имена; с одной стороны, Парменид, Платон, Спиноза, Кант, Фрэнсис Брэдли; с другой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Гераклит, Аристотель, Локк, Юм, Уильям Джемс. В кропотливых школах средневековья все взывали к наставнику человеческого разума Аристотелю («</w:t>
      </w:r>
      <w:r w:rsidRPr="007D440E">
        <w:rPr>
          <w:rFonts w:ascii="Verdana" w:hAnsi="Verdana"/>
          <w:color w:val="000000"/>
          <w:sz w:val="20"/>
        </w:rPr>
        <w:t>Convivio</w:t>
      </w:r>
      <w:r w:rsidRPr="007D440E">
        <w:rPr>
          <w:rFonts w:ascii="Verdana" w:hAnsi="Verdana"/>
          <w:color w:val="000000"/>
          <w:sz w:val="20"/>
          <w:lang w:val="ru-RU"/>
        </w:rPr>
        <w:t>»</w:t>
      </w:r>
      <w:r w:rsidRPr="007D440E">
        <w:rPr>
          <w:rFonts w:ascii="Verdana" w:hAnsi="Verdana"/>
          <w:color w:val="000000"/>
          <w:sz w:val="20"/>
          <w:vertAlign w:val="superscript"/>
        </w:rPr>
        <w:footnoteReference w:id="4"/>
      </w:r>
      <w:r w:rsidRPr="007D440E">
        <w:rPr>
          <w:rFonts w:ascii="Verdana" w:hAnsi="Verdana"/>
          <w:color w:val="000000"/>
          <w:sz w:val="20"/>
          <w:lang w:val="ru-RU"/>
        </w:rPr>
        <w:t xml:space="preserve">, </w:t>
      </w:r>
      <w:r w:rsidRPr="007D440E">
        <w:rPr>
          <w:rFonts w:ascii="Verdana" w:hAnsi="Verdana"/>
          <w:color w:val="000000"/>
          <w:sz w:val="20"/>
        </w:rPr>
        <w:t>IV</w:t>
      </w:r>
      <w:r w:rsidRPr="007D440E">
        <w:rPr>
          <w:rFonts w:ascii="Verdana" w:hAnsi="Verdana"/>
          <w:color w:val="000000"/>
          <w:sz w:val="20"/>
          <w:lang w:val="ru-RU"/>
        </w:rPr>
        <w:t xml:space="preserve">, 2), однако номиналисты действительно шли за Аристотелем, тогда как реалисты следовали Платону. Английский номинализм </w:t>
      </w:r>
      <w:r w:rsidRPr="007D440E">
        <w:rPr>
          <w:rFonts w:ascii="Verdana" w:hAnsi="Verdana"/>
          <w:color w:val="000000"/>
          <w:sz w:val="20"/>
        </w:rPr>
        <w:t>XIV</w:t>
      </w:r>
      <w:r w:rsidRPr="007D440E">
        <w:rPr>
          <w:rFonts w:ascii="Verdana" w:hAnsi="Verdana"/>
          <w:color w:val="000000"/>
          <w:sz w:val="20"/>
          <w:lang w:val="ru-RU"/>
        </w:rPr>
        <w:t xml:space="preserve"> века ожил в педантичном английском номинализме века восемнадцатого, и экономная формула Оккама «</w:t>
      </w:r>
      <w:r w:rsidRPr="007D440E">
        <w:rPr>
          <w:rFonts w:ascii="Verdana" w:hAnsi="Verdana"/>
          <w:color w:val="000000"/>
          <w:sz w:val="20"/>
        </w:rPr>
        <w:t>entia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non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sunt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multiplicanda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praeter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necessitatem</w:t>
      </w:r>
      <w:r w:rsidRPr="007D440E">
        <w:rPr>
          <w:rFonts w:ascii="Verdana" w:hAnsi="Verdana"/>
          <w:color w:val="000000"/>
          <w:sz w:val="20"/>
          <w:lang w:val="ru-RU"/>
        </w:rPr>
        <w:t>»</w:t>
      </w:r>
      <w:r w:rsidRPr="007D440E">
        <w:rPr>
          <w:rFonts w:ascii="Verdana" w:hAnsi="Verdana"/>
          <w:color w:val="000000"/>
          <w:sz w:val="20"/>
          <w:vertAlign w:val="superscript"/>
        </w:rPr>
        <w:footnoteReference w:id="5"/>
      </w:r>
      <w:r w:rsidRPr="007D440E">
        <w:rPr>
          <w:rFonts w:ascii="Verdana" w:hAnsi="Verdana"/>
          <w:color w:val="000000"/>
          <w:sz w:val="20"/>
          <w:lang w:val="ru-RU"/>
        </w:rPr>
        <w:t xml:space="preserve"> уже предполагает (или предсказывает) столь же категоричное «</w:t>
      </w:r>
      <w:r w:rsidRPr="007D440E">
        <w:rPr>
          <w:rFonts w:ascii="Verdana" w:hAnsi="Verdana"/>
          <w:color w:val="000000"/>
          <w:sz w:val="20"/>
        </w:rPr>
        <w:t>esse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est</w:t>
      </w:r>
      <w:r w:rsidRPr="007D440E">
        <w:rPr>
          <w:rFonts w:ascii="Verdana" w:hAnsi="Verdana"/>
          <w:color w:val="000000"/>
          <w:sz w:val="20"/>
          <w:lang w:val="ru-RU"/>
        </w:rPr>
        <w:t xml:space="preserve"> </w:t>
      </w:r>
      <w:r w:rsidRPr="007D440E">
        <w:rPr>
          <w:rFonts w:ascii="Verdana" w:hAnsi="Verdana"/>
          <w:color w:val="000000"/>
          <w:sz w:val="20"/>
        </w:rPr>
        <w:t>percipi</w:t>
      </w:r>
      <w:r w:rsidRPr="007D440E">
        <w:rPr>
          <w:rFonts w:ascii="Verdana" w:hAnsi="Verdana"/>
          <w:color w:val="000000"/>
          <w:sz w:val="20"/>
          <w:lang w:val="ru-RU"/>
        </w:rPr>
        <w:t>»</w:t>
      </w:r>
      <w:r w:rsidRPr="007D440E">
        <w:rPr>
          <w:rFonts w:ascii="Verdana" w:hAnsi="Verdana"/>
          <w:color w:val="000000"/>
          <w:sz w:val="20"/>
          <w:vertAlign w:val="superscript"/>
        </w:rPr>
        <w:footnoteReference w:id="6"/>
      </w:r>
      <w:r w:rsidRPr="007D440E">
        <w:rPr>
          <w:rFonts w:ascii="Verdana" w:hAnsi="Verdana"/>
          <w:color w:val="000000"/>
          <w:sz w:val="20"/>
          <w:lang w:val="ru-RU"/>
        </w:rPr>
        <w:t>. Все мы, говорил Колридж, рождаемся последователями либо Аристотеля, либо Платона; об английском уме можно сказать, что он из Аристотелева потомства. Для него реальны не отвлеченные понятия, но только индивиды, не соловей как род, а лишь этот конкретный соловей. Естественно (и даже неизбежно), что в Англии «Оду соловью» попросту не поняли.</w:t>
      </w:r>
    </w:p>
    <w:p w14:paraId="06171EBF" w14:textId="77777777" w:rsidR="00F81971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В моих словах нет ни упрека, ни пренебрежения. Англичанин отвергает родовое, поскольку чувствует: несокрушимо, неподражаемо и своеобразно только индивидуальное. От немецких абстракций его спасает моральная щепетильность, а вовсе не отсутствие умозрительных способностей. Он не понимает «Оды соловью», и это великое непонимание дает ему силы быть Локком, Беркли или Юмом и в свои семьдесят создавать так никем и не услышанные предостережения «Индивида против государства».</w:t>
      </w:r>
    </w:p>
    <w:p w14:paraId="2E5DCEF7" w14:textId="4003387D" w:rsidR="009749B8" w:rsidRPr="007D440E" w:rsidRDefault="00F81971" w:rsidP="007D440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D440E">
        <w:rPr>
          <w:rFonts w:ascii="Verdana" w:hAnsi="Verdana"/>
          <w:color w:val="000000"/>
          <w:sz w:val="20"/>
          <w:lang w:val="ru-RU"/>
        </w:rPr>
        <w:t>Все языки мира дарят соловью певучие имена (</w:t>
      </w:r>
      <w:r w:rsidRPr="007D440E">
        <w:rPr>
          <w:rFonts w:ascii="Verdana" w:hAnsi="Verdana"/>
          <w:color w:val="000000"/>
          <w:sz w:val="20"/>
        </w:rPr>
        <w:t>nightingale</w:t>
      </w:r>
      <w:r w:rsidRPr="007D440E">
        <w:rPr>
          <w:rFonts w:ascii="Verdana" w:hAnsi="Verdana"/>
          <w:color w:val="000000"/>
          <w:sz w:val="20"/>
          <w:lang w:val="ru-RU"/>
        </w:rPr>
        <w:t xml:space="preserve">, </w:t>
      </w:r>
      <w:r w:rsidRPr="007D440E">
        <w:rPr>
          <w:rFonts w:ascii="Verdana" w:hAnsi="Verdana"/>
          <w:color w:val="000000"/>
          <w:sz w:val="20"/>
        </w:rPr>
        <w:t>nachtigall</w:t>
      </w:r>
      <w:r w:rsidRPr="007D440E">
        <w:rPr>
          <w:rFonts w:ascii="Verdana" w:hAnsi="Verdana"/>
          <w:color w:val="000000"/>
          <w:sz w:val="20"/>
          <w:lang w:val="ru-RU"/>
        </w:rPr>
        <w:t xml:space="preserve">, </w:t>
      </w:r>
      <w:r w:rsidRPr="007D440E">
        <w:rPr>
          <w:rFonts w:ascii="Verdana" w:hAnsi="Verdana"/>
          <w:color w:val="000000"/>
          <w:sz w:val="20"/>
        </w:rPr>
        <w:t>usignolo</w:t>
      </w:r>
      <w:r w:rsidRPr="007D440E">
        <w:rPr>
          <w:rFonts w:ascii="Verdana" w:hAnsi="Verdana"/>
          <w:color w:val="000000"/>
          <w:sz w:val="20"/>
          <w:lang w:val="ru-RU"/>
        </w:rPr>
        <w:t>), словно мы инстинктивно стараемся не уронить достоинства его волшебных песен. Он столько восхищал поэтов, что стал почти нереальным и ближе ангелу, чем жаворонку. Начиная с саксонских загадок из Эксетерской книги («Я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древний певец, под вечер несущий радость в дома доблестных») и до трагической «Аталанты» Суинберна в английской поэзии не умолкает бессмертный соловей. Его славят Чосер и Шекспир, Мильтон и Мэтью Арнолд, но для нас его образ навсегда связан с Джоном Китсом, как образ тигра</w:t>
      </w:r>
      <w:r w:rsidRPr="007D440E">
        <w:rPr>
          <w:rFonts w:ascii="Verdana" w:hAnsi="Verdana"/>
          <w:color w:val="000000"/>
          <w:sz w:val="20"/>
        </w:rPr>
        <w:t> </w:t>
      </w:r>
      <w:r w:rsidRPr="007D440E">
        <w:rPr>
          <w:rFonts w:ascii="Verdana" w:hAnsi="Verdana"/>
          <w:color w:val="000000"/>
          <w:sz w:val="20"/>
          <w:lang w:val="ru-RU"/>
        </w:rPr>
        <w:t>— с Уильямом Блейком.</w:t>
      </w:r>
    </w:p>
    <w:sectPr w:rsidR="009749B8" w:rsidRPr="007D440E" w:rsidSect="007D44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E8049" w14:textId="77777777" w:rsidR="00BD3196" w:rsidRDefault="00BD3196" w:rsidP="00F81971">
      <w:pPr>
        <w:spacing w:after="0" w:line="240" w:lineRule="auto"/>
      </w:pPr>
      <w:r>
        <w:separator/>
      </w:r>
    </w:p>
  </w:endnote>
  <w:endnote w:type="continuationSeparator" w:id="0">
    <w:p w14:paraId="09447C10" w14:textId="77777777" w:rsidR="00BD3196" w:rsidRDefault="00BD3196" w:rsidP="00F81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DD23" w14:textId="77777777" w:rsidR="007D440E" w:rsidRDefault="007D440E" w:rsidP="009F22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8A9F2E2" w14:textId="77777777" w:rsidR="007D440E" w:rsidRDefault="007D440E" w:rsidP="007D44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B5CA" w14:textId="69F6E9B5" w:rsidR="007D440E" w:rsidRPr="007D440E" w:rsidRDefault="007D440E" w:rsidP="007D440E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D440E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EEFEE" w14:textId="77777777" w:rsidR="007D440E" w:rsidRDefault="007D4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138" w14:textId="77777777" w:rsidR="00BD3196" w:rsidRDefault="00BD3196" w:rsidP="00F81971">
      <w:pPr>
        <w:spacing w:after="0" w:line="240" w:lineRule="auto"/>
      </w:pPr>
      <w:r>
        <w:separator/>
      </w:r>
    </w:p>
  </w:footnote>
  <w:footnote w:type="continuationSeparator" w:id="0">
    <w:p w14:paraId="42025D73" w14:textId="77777777" w:rsidR="00BD3196" w:rsidRDefault="00BD3196" w:rsidP="00F81971">
      <w:pPr>
        <w:spacing w:after="0" w:line="240" w:lineRule="auto"/>
      </w:pPr>
      <w:r>
        <w:continuationSeparator/>
      </w:r>
    </w:p>
  </w:footnote>
  <w:footnote w:id="1">
    <w:p w14:paraId="569AE89A" w14:textId="05261EE6" w:rsidR="00F81971" w:rsidRDefault="00F81971" w:rsidP="007D440E">
      <w:pPr>
        <w:pStyle w:val="FootNote"/>
        <w:spacing w:after="60"/>
        <w:ind w:firstLine="0"/>
      </w:pPr>
      <w:r w:rsidRPr="007D440E">
        <w:rPr>
          <w:vertAlign w:val="superscript"/>
        </w:rPr>
        <w:footnoteRef/>
      </w:r>
      <w:r>
        <w:t xml:space="preserve"> </w:t>
      </w:r>
      <w:r w:rsidRPr="007D440E">
        <w:rPr>
          <w:rFonts w:ascii="Calibri" w:hAnsi="Calibri" w:cs="Calibri"/>
        </w:rPr>
        <w:t>Кембриджские платоники (</w:t>
      </w:r>
      <w:r w:rsidRPr="007D440E">
        <w:rPr>
          <w:rFonts w:ascii="Calibri" w:hAnsi="Calibri" w:cs="Calibri"/>
          <w:i/>
          <w:iCs/>
        </w:rPr>
        <w:t>англ</w:t>
      </w:r>
      <w:r w:rsidR="007D440E">
        <w:rPr>
          <w:rFonts w:ascii="Calibri" w:hAnsi="Calibri" w:cs="Calibri"/>
        </w:rPr>
        <w:t>.</w:t>
      </w:r>
      <w:r w:rsidRPr="007D440E">
        <w:rPr>
          <w:rFonts w:ascii="Calibri" w:hAnsi="Calibri" w:cs="Calibri"/>
        </w:rPr>
        <w:t>).</w:t>
      </w:r>
    </w:p>
  </w:footnote>
  <w:footnote w:id="2">
    <w:p w14:paraId="0FDA49F1" w14:textId="0D108CCC" w:rsidR="00F81971" w:rsidRDefault="00F81971" w:rsidP="007D440E">
      <w:pPr>
        <w:pStyle w:val="FootNote"/>
        <w:spacing w:after="60"/>
        <w:ind w:firstLine="0"/>
      </w:pPr>
      <w:r w:rsidRPr="007D440E">
        <w:rPr>
          <w:vertAlign w:val="superscript"/>
        </w:rPr>
        <w:footnoteRef/>
      </w:r>
      <w:r>
        <w:t xml:space="preserve"> </w:t>
      </w:r>
      <w:r w:rsidRPr="007D440E">
        <w:rPr>
          <w:rFonts w:ascii="Calibri" w:hAnsi="Calibri" w:cs="Calibri"/>
        </w:rPr>
        <w:t>«Четвертое измерение» (</w:t>
      </w:r>
      <w:r w:rsidRPr="007D440E">
        <w:rPr>
          <w:rFonts w:ascii="Calibri" w:hAnsi="Calibri" w:cs="Calibri"/>
          <w:i/>
          <w:iCs/>
        </w:rPr>
        <w:t>англ</w:t>
      </w:r>
      <w:r w:rsidR="007D440E">
        <w:rPr>
          <w:rFonts w:ascii="Calibri" w:hAnsi="Calibri" w:cs="Calibri"/>
        </w:rPr>
        <w:t>.</w:t>
      </w:r>
      <w:r w:rsidRPr="007D440E">
        <w:rPr>
          <w:rFonts w:ascii="Calibri" w:hAnsi="Calibri" w:cs="Calibri"/>
        </w:rPr>
        <w:t>).</w:t>
      </w:r>
    </w:p>
  </w:footnote>
  <w:footnote w:id="3">
    <w:p w14:paraId="44536EE7" w14:textId="53876842" w:rsidR="00F81971" w:rsidRPr="00F81971" w:rsidRDefault="00F81971" w:rsidP="007D440E">
      <w:pPr>
        <w:pStyle w:val="FootNote"/>
        <w:spacing w:after="60"/>
        <w:ind w:firstLine="0"/>
        <w:rPr>
          <w:lang w:val="en-US"/>
        </w:rPr>
      </w:pPr>
      <w:r w:rsidRPr="007D440E">
        <w:rPr>
          <w:vertAlign w:val="superscript"/>
        </w:rPr>
        <w:footnoteRef/>
      </w:r>
      <w:r>
        <w:t xml:space="preserve"> </w:t>
      </w:r>
      <w:r w:rsidRPr="007D440E">
        <w:rPr>
          <w:rFonts w:ascii="Calibri" w:hAnsi="Calibri" w:cs="Calibri"/>
        </w:rPr>
        <w:t>Добавлю к ним пример из замечательного поэта Уильяма Батлера Йейтса, в первой строфе своего «Sailing to Byzantium» «Плавание в Византию» (</w:t>
      </w:r>
      <w:r w:rsidRPr="007D440E">
        <w:rPr>
          <w:rFonts w:ascii="Calibri" w:hAnsi="Calibri" w:cs="Calibri"/>
          <w:i/>
          <w:iCs/>
        </w:rPr>
        <w:t>англ</w:t>
      </w:r>
      <w:r w:rsidR="007D440E">
        <w:rPr>
          <w:rFonts w:ascii="Calibri" w:hAnsi="Calibri" w:cs="Calibri"/>
        </w:rPr>
        <w:t>.</w:t>
      </w:r>
      <w:r w:rsidRPr="007D440E">
        <w:rPr>
          <w:rFonts w:ascii="Calibri" w:hAnsi="Calibri" w:cs="Calibri"/>
        </w:rPr>
        <w:t>) говорящего об «ушедших поколеньях» птиц, обдуманно или невольно отсылая этим к «Оде». См</w:t>
      </w:r>
      <w:r w:rsidRPr="007D440E">
        <w:rPr>
          <w:rFonts w:ascii="Calibri" w:hAnsi="Calibri" w:cs="Calibri"/>
          <w:lang w:val="en-US"/>
        </w:rPr>
        <w:t xml:space="preserve">.: </w:t>
      </w:r>
      <w:r w:rsidRPr="007D440E">
        <w:rPr>
          <w:rFonts w:ascii="Calibri" w:hAnsi="Calibri" w:cs="Calibri"/>
        </w:rPr>
        <w:t>Т</w:t>
      </w:r>
      <w:r w:rsidRPr="007D440E">
        <w:rPr>
          <w:rFonts w:ascii="Calibri" w:hAnsi="Calibri" w:cs="Calibri"/>
          <w:lang w:val="en-US"/>
        </w:rPr>
        <w:t>. R. Henn, «The Lonely Tower», 1950. P. 211.</w:t>
      </w:r>
    </w:p>
  </w:footnote>
  <w:footnote w:id="4">
    <w:p w14:paraId="4FD27147" w14:textId="78F144F2" w:rsidR="00F81971" w:rsidRPr="007D440E" w:rsidRDefault="00F81971" w:rsidP="007D440E">
      <w:pPr>
        <w:pStyle w:val="FootNote"/>
        <w:spacing w:after="60"/>
        <w:ind w:firstLine="0"/>
      </w:pPr>
      <w:r w:rsidRPr="007D440E">
        <w:rPr>
          <w:vertAlign w:val="superscript"/>
        </w:rPr>
        <w:footnoteRef/>
      </w:r>
      <w:r w:rsidRPr="007D440E">
        <w:t xml:space="preserve"> </w:t>
      </w:r>
      <w:r w:rsidRPr="007D440E">
        <w:rPr>
          <w:rFonts w:ascii="Calibri" w:hAnsi="Calibri" w:cs="Calibri"/>
        </w:rPr>
        <w:t>«Пир» (</w:t>
      </w:r>
      <w:r w:rsidRPr="007D440E">
        <w:rPr>
          <w:rFonts w:ascii="Calibri" w:hAnsi="Calibri" w:cs="Calibri"/>
          <w:i/>
          <w:iCs/>
        </w:rPr>
        <w:t>лат</w:t>
      </w:r>
      <w:r w:rsidR="007D440E" w:rsidRPr="007D440E">
        <w:rPr>
          <w:rFonts w:ascii="Calibri" w:hAnsi="Calibri" w:cs="Calibri"/>
        </w:rPr>
        <w:t>.</w:t>
      </w:r>
      <w:r w:rsidRPr="007D440E">
        <w:rPr>
          <w:rFonts w:ascii="Calibri" w:hAnsi="Calibri" w:cs="Calibri"/>
        </w:rPr>
        <w:t>).</w:t>
      </w:r>
    </w:p>
  </w:footnote>
  <w:footnote w:id="5">
    <w:p w14:paraId="57509712" w14:textId="1CA3095F" w:rsidR="00F81971" w:rsidRDefault="00F81971" w:rsidP="007D440E">
      <w:pPr>
        <w:pStyle w:val="FootNote"/>
        <w:spacing w:after="60"/>
        <w:ind w:firstLine="0"/>
      </w:pPr>
      <w:r w:rsidRPr="007D440E">
        <w:rPr>
          <w:vertAlign w:val="superscript"/>
        </w:rPr>
        <w:footnoteRef/>
      </w:r>
      <w:r>
        <w:t xml:space="preserve"> </w:t>
      </w:r>
      <w:r w:rsidRPr="007D440E">
        <w:rPr>
          <w:rFonts w:ascii="Calibri" w:hAnsi="Calibri" w:cs="Calibri"/>
        </w:rPr>
        <w:t>Без необходимости не умножать сущностей (</w:t>
      </w:r>
      <w:r w:rsidRPr="007D440E">
        <w:rPr>
          <w:rFonts w:ascii="Calibri" w:hAnsi="Calibri" w:cs="Calibri"/>
          <w:i/>
          <w:iCs/>
        </w:rPr>
        <w:t>лат</w:t>
      </w:r>
      <w:r w:rsidR="007D440E">
        <w:rPr>
          <w:rFonts w:ascii="Calibri" w:hAnsi="Calibri" w:cs="Calibri"/>
        </w:rPr>
        <w:t>.</w:t>
      </w:r>
      <w:r w:rsidRPr="007D440E">
        <w:rPr>
          <w:rFonts w:ascii="Calibri" w:hAnsi="Calibri" w:cs="Calibri"/>
        </w:rPr>
        <w:t>).</w:t>
      </w:r>
    </w:p>
  </w:footnote>
  <w:footnote w:id="6">
    <w:p w14:paraId="49C0650E" w14:textId="0378C6F5" w:rsidR="00F81971" w:rsidRDefault="00F81971" w:rsidP="007D440E">
      <w:pPr>
        <w:pStyle w:val="FootNote"/>
        <w:spacing w:after="60"/>
        <w:ind w:firstLine="0"/>
      </w:pPr>
      <w:r w:rsidRPr="007D440E">
        <w:rPr>
          <w:vertAlign w:val="superscript"/>
        </w:rPr>
        <w:footnoteRef/>
      </w:r>
      <w:r>
        <w:t xml:space="preserve"> </w:t>
      </w:r>
      <w:r w:rsidRPr="007D440E">
        <w:rPr>
          <w:rFonts w:ascii="Calibri" w:hAnsi="Calibri" w:cs="Calibri"/>
        </w:rPr>
        <w:t>Быть значит быть воспринимаемым (</w:t>
      </w:r>
      <w:r w:rsidRPr="007D440E">
        <w:rPr>
          <w:rFonts w:ascii="Calibri" w:hAnsi="Calibri" w:cs="Calibri"/>
          <w:i/>
          <w:iCs/>
        </w:rPr>
        <w:t>лат</w:t>
      </w:r>
      <w:r w:rsidR="007D440E">
        <w:rPr>
          <w:rFonts w:ascii="Calibri" w:hAnsi="Calibri" w:cs="Calibri"/>
        </w:rPr>
        <w:t>.</w:t>
      </w:r>
      <w:r w:rsidRPr="007D440E">
        <w:rPr>
          <w:rFonts w:ascii="Calibri" w:hAnsi="Calibri" w:cs="Calibri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9582" w14:textId="77777777" w:rsidR="007D440E" w:rsidRDefault="007D44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D15B" w14:textId="707410FB" w:rsidR="007D440E" w:rsidRPr="007D440E" w:rsidRDefault="007D440E" w:rsidP="007D440E">
    <w:pPr>
      <w:pStyle w:val="Header"/>
      <w:rPr>
        <w:rFonts w:ascii="Arial" w:hAnsi="Arial" w:cs="Arial"/>
        <w:color w:val="999999"/>
        <w:sz w:val="20"/>
        <w:lang w:val="ru-RU"/>
      </w:rPr>
    </w:pPr>
    <w:r w:rsidRPr="007D440E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7E61" w14:textId="77777777" w:rsidR="007D440E" w:rsidRDefault="007D4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85ECB"/>
    <w:rsid w:val="007D440E"/>
    <w:rsid w:val="009749B8"/>
    <w:rsid w:val="00AA1D8D"/>
    <w:rsid w:val="00B47730"/>
    <w:rsid w:val="00BD3196"/>
    <w:rsid w:val="00CB0664"/>
    <w:rsid w:val="00CC2026"/>
    <w:rsid w:val="00F8197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B01D9C9"/>
  <w14:defaultImageDpi w14:val="300"/>
  <w15:docId w15:val="{01F7F159-0021-432F-8DD6-5DE96EDD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otNote">
    <w:name w:val="FootNote"/>
    <w:next w:val="Normal"/>
    <w:uiPriority w:val="99"/>
    <w:rsid w:val="00F81971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7D4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925</Words>
  <Characters>5488</Characters>
  <Application>Microsoft Office Word</Application>
  <DocSecurity>0</DocSecurity>
  <Lines>91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Соловей Джона Китса</dc:title>
  <dc:subject/>
  <dc:creator>Хорхе Луис Борхес</dc:creator>
  <cp:keywords/>
  <dc:description/>
  <cp:lastModifiedBy>Andrey Piskunov</cp:lastModifiedBy>
  <cp:revision>6</cp:revision>
  <dcterms:created xsi:type="dcterms:W3CDTF">2013-12-23T23:15:00Z</dcterms:created>
  <dcterms:modified xsi:type="dcterms:W3CDTF">2026-05-27T02:24:00Z</dcterms:modified>
  <cp:category/>
</cp:coreProperties>
</file>